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eastAsia" w:ascii="微软雅黑" w:hAnsi="微软雅黑" w:eastAsia="微软雅黑" w:cs="微软雅黑"/>
          <w:b/>
          <w:caps w:val="0"/>
          <w:color w:val="000000"/>
          <w:spacing w:val="0"/>
          <w:sz w:val="42"/>
          <w:szCs w:val="42"/>
          <w:bdr w:val="none" w:color="auto" w:sz="0" w:space="0"/>
          <w:shd w:val="clear" w:fill="FFFFFF"/>
        </w:rPr>
      </w:pPr>
      <w:r>
        <w:rPr>
          <w:rFonts w:hint="eastAsia" w:ascii="微软雅黑" w:hAnsi="微软雅黑" w:eastAsia="微软雅黑" w:cs="微软雅黑"/>
          <w:b/>
          <w:caps w:val="0"/>
          <w:color w:val="000000"/>
          <w:spacing w:val="0"/>
          <w:sz w:val="42"/>
          <w:szCs w:val="42"/>
          <w:bdr w:val="none" w:color="auto" w:sz="0" w:space="0"/>
          <w:shd w:val="clear" w:fill="FFFFFF"/>
        </w:rPr>
        <w:t>广东省市场监督管理局等九部门关于印发关于应对疫情影响加大对个体工商户支持力度若干政策措施的通知</w:t>
      </w:r>
    </w:p>
    <w:p>
      <w:pPr>
        <w:jc w:val="center"/>
      </w:pPr>
      <w:r>
        <w:rPr>
          <w:rFonts w:ascii="微软雅黑" w:hAnsi="微软雅黑" w:eastAsia="微软雅黑" w:cs="微软雅黑"/>
          <w:i w:val="0"/>
          <w:caps w:val="0"/>
          <w:color w:val="333333"/>
          <w:spacing w:val="0"/>
          <w:sz w:val="24"/>
          <w:szCs w:val="24"/>
          <w:shd w:val="clear" w:fill="FFFFFF"/>
        </w:rPr>
        <w:t>粤市监〔2020〕21号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各地级以上市人民政府，各有关单位：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《关于应对疫情影响加大对个体工商户支持力度的若干政策措施》经省委、省政府同意，现予印发，请认真贯彻实施。实施过程中遇到的问题，请径向牵头责任单位反映。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省市场监管局  省发展改革委  省财政厅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省人力资源和社会保障厅  省商务厅  省国资委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省税务局  人民银行广州分行   广东银保监局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2020年3月25日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（联系人：张宁飞，联系电话：020－38835103）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24"/>
          <w:szCs w:val="24"/>
          <w:bdr w:val="none" w:color="auto" w:sz="0" w:space="0"/>
          <w:shd w:val="clear" w:fill="FFFFFF"/>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24"/>
          <w:szCs w:val="24"/>
        </w:rPr>
      </w:pPr>
      <w:r>
        <w:rPr>
          <w:rStyle w:val="7"/>
          <w:rFonts w:hint="eastAsia" w:ascii="微软雅黑" w:hAnsi="微软雅黑" w:eastAsia="微软雅黑" w:cs="微软雅黑"/>
          <w:i w:val="0"/>
          <w:caps w:val="0"/>
          <w:color w:val="333333"/>
          <w:spacing w:val="0"/>
          <w:sz w:val="24"/>
          <w:szCs w:val="24"/>
          <w:bdr w:val="none" w:color="auto" w:sz="0" w:space="0"/>
          <w:shd w:val="clear" w:fill="FFFFFF"/>
        </w:rPr>
        <w:t>　</w:t>
      </w:r>
      <w:r>
        <w:rPr>
          <w:rStyle w:val="7"/>
          <w:rFonts w:hint="eastAsia" w:ascii="微软雅黑" w:hAnsi="微软雅黑" w:eastAsia="微软雅黑" w:cs="微软雅黑"/>
          <w:i w:val="0"/>
          <w:caps w:val="0"/>
          <w:color w:val="333333"/>
          <w:spacing w:val="0"/>
          <w:sz w:val="27"/>
          <w:szCs w:val="27"/>
          <w:bdr w:val="none" w:color="auto" w:sz="0" w:space="0"/>
          <w:shd w:val="clear" w:fill="FFFFFF"/>
        </w:rPr>
        <w:t>关于应对疫情影响加大对个体工商户支持力度的若干政策措施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为深入贯彻习近平总书记重要讲话和重要指示批示精神，统筹推进新冠肺炎疫情防控和经济社会发展工作，支持我省个体工商户应对疫情影响，有序复工复产，保持平稳健康发展，现制定以下政策措施。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7"/>
          <w:rFonts w:hint="eastAsia" w:ascii="微软雅黑" w:hAnsi="微软雅黑" w:eastAsia="微软雅黑" w:cs="微软雅黑"/>
          <w:i w:val="0"/>
          <w:caps w:val="0"/>
          <w:color w:val="333333"/>
          <w:spacing w:val="0"/>
          <w:sz w:val="24"/>
          <w:szCs w:val="24"/>
          <w:bdr w:val="none" w:color="auto" w:sz="0" w:space="0"/>
          <w:shd w:val="clear" w:fill="FFFFFF"/>
        </w:rPr>
        <w:t>一、降低经营成本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b/>
          <w:bCs/>
          <w:i w:val="0"/>
          <w:caps w:val="0"/>
          <w:color w:val="333333"/>
          <w:spacing w:val="0"/>
          <w:sz w:val="24"/>
          <w:szCs w:val="24"/>
          <w:bdr w:val="none" w:color="auto" w:sz="0" w:space="0"/>
          <w:shd w:val="clear" w:fill="FFFFFF"/>
        </w:rPr>
        <w:t>1．减免场地租金</w:t>
      </w:r>
      <w:r>
        <w:rPr>
          <w:rFonts w:hint="eastAsia" w:ascii="微软雅黑" w:hAnsi="微软雅黑" w:eastAsia="微软雅黑" w:cs="微软雅黑"/>
          <w:i w:val="0"/>
          <w:caps w:val="0"/>
          <w:color w:val="333333"/>
          <w:spacing w:val="0"/>
          <w:sz w:val="24"/>
          <w:szCs w:val="24"/>
          <w:bdr w:val="none" w:color="auto" w:sz="0" w:space="0"/>
          <w:shd w:val="clear" w:fill="FFFFFF"/>
        </w:rPr>
        <w:t>。国有资产类经营用房对受疫情影响较大的实际承租户免收第一个月租金，减半收取第二、三个月租金。鼓励有条件的国有单位适当延长租金减免时限。发挥行业协会商会作用，引导商业地产、物业服务等企业带头减免实际承租户租金、物业管理费，鼓励其他经营用房的业主减免租金。为个体工商户减免两个月以上租金的业主，按减免租金月份数给予房产税、城镇土地使用税困难减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b/>
          <w:bCs/>
          <w:i w:val="0"/>
          <w:caps w:val="0"/>
          <w:color w:val="333333"/>
          <w:spacing w:val="0"/>
          <w:sz w:val="24"/>
          <w:szCs w:val="24"/>
          <w:bdr w:val="none" w:color="auto" w:sz="0" w:space="0"/>
          <w:shd w:val="clear" w:fill="FFFFFF"/>
        </w:rPr>
        <w:t>2．减轻税收负担</w:t>
      </w:r>
      <w:r>
        <w:rPr>
          <w:rFonts w:hint="eastAsia" w:ascii="微软雅黑" w:hAnsi="微软雅黑" w:eastAsia="微软雅黑" w:cs="微软雅黑"/>
          <w:i w:val="0"/>
          <w:caps w:val="0"/>
          <w:color w:val="333333"/>
          <w:spacing w:val="0"/>
          <w:sz w:val="24"/>
          <w:szCs w:val="24"/>
          <w:bdr w:val="none" w:color="auto" w:sz="0" w:space="0"/>
          <w:shd w:val="clear" w:fill="FFFFFF"/>
        </w:rPr>
        <w:t>。疫情防控期间，对符合延期缴纳税款条件的个体工商户，准予延长不超过3个月的税款缴纳期限。自2020年1月1日起，对个体工商户提供公共交通运输服务、生活服务以及为居民提供必需生活物资快递收派服务取得的收入，免征增值税。切实落实自2020年3月1日至5月31日，小规模纳税人增值税征收率由3%降至1%的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b/>
          <w:bCs/>
          <w:i w:val="0"/>
          <w:caps w:val="0"/>
          <w:color w:val="333333"/>
          <w:spacing w:val="0"/>
          <w:sz w:val="24"/>
          <w:szCs w:val="24"/>
          <w:bdr w:val="none" w:color="auto" w:sz="0" w:space="0"/>
          <w:shd w:val="clear" w:fill="FFFFFF"/>
        </w:rPr>
        <w:t>3．减免社保费用。</w:t>
      </w:r>
      <w:r>
        <w:rPr>
          <w:rFonts w:hint="eastAsia" w:ascii="微软雅黑" w:hAnsi="微软雅黑" w:eastAsia="微软雅黑" w:cs="微软雅黑"/>
          <w:i w:val="0"/>
          <w:caps w:val="0"/>
          <w:color w:val="333333"/>
          <w:spacing w:val="0"/>
          <w:sz w:val="24"/>
          <w:szCs w:val="24"/>
          <w:bdr w:val="none" w:color="auto" w:sz="0" w:space="0"/>
          <w:shd w:val="clear" w:fill="FFFFFF"/>
        </w:rPr>
        <w:t>个体工商户有雇工并以单位方式参保的，按规定免征2020年2月至6月养老保险、失业保险、工伤保险的单位缴费部分，符合条件的，免填单、免申请，在申报环节自动享受免征政策；受疫情影响不能按时缴纳基本养老保险、失业保险、工伤保险的，可延期至疫情解除后3个月内补办补缴，出现严重困难的，缓缴执行期延至2020年底。个体工商户以个人身份参保，受疫情影响不能按时申报缴费的，可延期至疫情解除后3个月内补办补缴。补办补缴社会保险费免收滞纳金，相关待遇正常享受，不影响参保个人权益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4</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．减免医保费用</w:t>
      </w:r>
      <w:r>
        <w:rPr>
          <w:rFonts w:hint="eastAsia" w:ascii="微软雅黑" w:hAnsi="微软雅黑" w:eastAsia="微软雅黑" w:cs="微软雅黑"/>
          <w:i w:val="0"/>
          <w:caps w:val="0"/>
          <w:color w:val="333333"/>
          <w:spacing w:val="0"/>
          <w:sz w:val="24"/>
          <w:szCs w:val="24"/>
          <w:bdr w:val="none" w:color="auto" w:sz="0" w:space="0"/>
          <w:shd w:val="clear" w:fill="FFFFFF"/>
        </w:rPr>
        <w:t>。2020年2月至6月，职工医保统筹基金累计结余可支付月数大于6个月的统筹地区，以单位形式参保的个体工商户，职工基本医疗保险单位缴费部分可减半征收。减半征收政策结束后，符合粤府〔2020〕12号文降费条件的统筹地区，可继续执行阶段性降费政策至2021年4月30日。受疫情影响无法按时缴纳基本医疗保险（含生育保险）费用的，允许延期至疫情解除后3个月内补办补缴，免收滞纳金。延缴期间，相关待遇正常享受，不影响参保个人权益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5．</w:t>
      </w:r>
      <w:r>
        <w:rPr>
          <w:rFonts w:hint="eastAsia" w:ascii="微软雅黑" w:hAnsi="微软雅黑" w:eastAsia="微软雅黑" w:cs="微软雅黑"/>
          <w:b/>
          <w:bCs/>
          <w:i w:val="0"/>
          <w:caps w:val="0"/>
          <w:color w:val="333333"/>
          <w:spacing w:val="0"/>
          <w:sz w:val="24"/>
          <w:szCs w:val="24"/>
          <w:bdr w:val="none" w:color="auto" w:sz="0" w:space="0"/>
          <w:shd w:val="clear" w:fill="FFFFFF"/>
        </w:rPr>
        <w:t>减免服务收费</w:t>
      </w:r>
      <w:r>
        <w:rPr>
          <w:rFonts w:hint="eastAsia" w:ascii="微软雅黑" w:hAnsi="微软雅黑" w:eastAsia="微软雅黑" w:cs="微软雅黑"/>
          <w:i w:val="0"/>
          <w:caps w:val="0"/>
          <w:color w:val="333333"/>
          <w:spacing w:val="0"/>
          <w:sz w:val="24"/>
          <w:szCs w:val="24"/>
          <w:bdr w:val="none" w:color="auto" w:sz="0" w:space="0"/>
          <w:shd w:val="clear" w:fill="FFFFFF"/>
        </w:rPr>
        <w:t>。各级政府机关所属事业单位、国有企业法人性质的检验检测认证机构和标准化技术机构，免予收取在疫情期间受理业务的相关检验检测费用、认证认可费用、中外标准信息咨询服务费用、标准时效性确认和标准翻译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6．</w:t>
      </w:r>
      <w:r>
        <w:rPr>
          <w:rFonts w:hint="eastAsia" w:ascii="微软雅黑" w:hAnsi="微软雅黑" w:eastAsia="微软雅黑" w:cs="微软雅黑"/>
          <w:b/>
          <w:bCs/>
          <w:i w:val="0"/>
          <w:caps w:val="0"/>
          <w:color w:val="333333"/>
          <w:spacing w:val="0"/>
          <w:sz w:val="24"/>
          <w:szCs w:val="24"/>
          <w:bdr w:val="none" w:color="auto" w:sz="0" w:space="0"/>
          <w:shd w:val="clear" w:fill="FFFFFF"/>
        </w:rPr>
        <w:t>降低水电气价格</w:t>
      </w:r>
      <w:r>
        <w:rPr>
          <w:rFonts w:hint="eastAsia" w:ascii="微软雅黑" w:hAnsi="微软雅黑" w:eastAsia="微软雅黑" w:cs="微软雅黑"/>
          <w:i w:val="0"/>
          <w:caps w:val="0"/>
          <w:color w:val="333333"/>
          <w:spacing w:val="0"/>
          <w:sz w:val="24"/>
          <w:szCs w:val="24"/>
          <w:bdr w:val="none" w:color="auto" w:sz="0" w:space="0"/>
          <w:shd w:val="clear" w:fill="FFFFFF"/>
        </w:rPr>
        <w:t>。自2020年2月1日至6月30日，督促中石油、中海油、中石化等气源供应企业执行国家政策降低气源价格；省内天然气管道运输价格下调10%；城镇燃气企业天然气购销价差下调10%；全省除高耗能行业外的工商业用户的电费统一按照原到户电价水平的95%结算；各地按不低于10%的幅度下调个体工商户的用水到户价格。2020年上半年，受疫情影响不能足额缴纳用电、用气、用水费用的个体工商户，实行“欠费不停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7．</w:t>
      </w:r>
      <w:r>
        <w:rPr>
          <w:rFonts w:hint="eastAsia" w:ascii="微软雅黑" w:hAnsi="微软雅黑" w:eastAsia="微软雅黑" w:cs="微软雅黑"/>
          <w:b/>
          <w:bCs/>
          <w:i w:val="0"/>
          <w:caps w:val="0"/>
          <w:color w:val="333333"/>
          <w:spacing w:val="0"/>
          <w:sz w:val="24"/>
          <w:szCs w:val="24"/>
          <w:bdr w:val="none" w:color="auto" w:sz="0" w:space="0"/>
          <w:shd w:val="clear" w:fill="FFFFFF"/>
        </w:rPr>
        <w:t>降低线上经营成本</w:t>
      </w:r>
      <w:r>
        <w:rPr>
          <w:rFonts w:hint="eastAsia" w:ascii="微软雅黑" w:hAnsi="微软雅黑" w:eastAsia="微软雅黑" w:cs="微软雅黑"/>
          <w:i w:val="0"/>
          <w:caps w:val="0"/>
          <w:color w:val="333333"/>
          <w:spacing w:val="0"/>
          <w:sz w:val="24"/>
          <w:szCs w:val="24"/>
          <w:bdr w:val="none" w:color="auto" w:sz="0" w:space="0"/>
          <w:shd w:val="clear" w:fill="FFFFFF"/>
        </w:rPr>
        <w:t>。充分发挥各行业协会作用，引导鼓励互联网平台放宽个体工商户入驻条件，降低平台服务费用、推广费用，通过开展线上活动、补贴个体工商户或消费者等方式，支持个体工商户拓展业务。鼓励有条件的地市，对本地帮扶效果较好的电子商务平台企业给予一定的资金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8．</w:t>
      </w:r>
      <w:r>
        <w:rPr>
          <w:rFonts w:hint="eastAsia" w:ascii="微软雅黑" w:hAnsi="微软雅黑" w:eastAsia="微软雅黑" w:cs="微软雅黑"/>
          <w:b/>
          <w:bCs/>
          <w:i w:val="0"/>
          <w:caps w:val="0"/>
          <w:color w:val="333333"/>
          <w:spacing w:val="0"/>
          <w:sz w:val="24"/>
          <w:szCs w:val="24"/>
          <w:bdr w:val="none" w:color="auto" w:sz="0" w:space="0"/>
          <w:shd w:val="clear" w:fill="FFFFFF"/>
        </w:rPr>
        <w:t>加大对“个转企”支持力度</w:t>
      </w:r>
      <w:r>
        <w:rPr>
          <w:rFonts w:hint="eastAsia" w:ascii="微软雅黑" w:hAnsi="微软雅黑" w:eastAsia="微软雅黑" w:cs="微软雅黑"/>
          <w:i w:val="0"/>
          <w:caps w:val="0"/>
          <w:color w:val="333333"/>
          <w:spacing w:val="0"/>
          <w:sz w:val="24"/>
          <w:szCs w:val="24"/>
          <w:bdr w:val="none" w:color="auto" w:sz="0" w:space="0"/>
          <w:shd w:val="clear" w:fill="FFFFFF"/>
        </w:rPr>
        <w:t>。个体工商户转型升级为企业的，鼓励各地结合实际出台相关优惠、奖励和补贴政策。转型后的企业按照“先税后证”原则，凭税务部门出具的完税凭证或者减免税证明，到不动产登记机构办理土地使用权及房屋所有权变更登记，按规定免收不动产登记费。转型企业办理设备等所有权更名时，投资主体、经营场所不变的，按规定免收交易手续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7"/>
          <w:rFonts w:hint="eastAsia" w:ascii="微软雅黑" w:hAnsi="微软雅黑" w:eastAsia="微软雅黑" w:cs="微软雅黑"/>
          <w:i w:val="0"/>
          <w:caps w:val="0"/>
          <w:color w:val="333333"/>
          <w:spacing w:val="0"/>
          <w:sz w:val="24"/>
          <w:szCs w:val="24"/>
          <w:bdr w:val="none" w:color="auto" w:sz="0" w:space="0"/>
          <w:shd w:val="clear" w:fill="FFFFFF"/>
        </w:rPr>
        <w:t>二、加大资金纾困力度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9．</w:t>
      </w:r>
      <w:r>
        <w:rPr>
          <w:rFonts w:hint="eastAsia" w:ascii="微软雅黑" w:hAnsi="微软雅黑" w:eastAsia="微软雅黑" w:cs="微软雅黑"/>
          <w:b/>
          <w:bCs/>
          <w:i w:val="0"/>
          <w:caps w:val="0"/>
          <w:color w:val="333333"/>
          <w:spacing w:val="0"/>
          <w:sz w:val="24"/>
          <w:szCs w:val="24"/>
          <w:bdr w:val="none" w:color="auto" w:sz="0" w:space="0"/>
          <w:shd w:val="clear" w:fill="FFFFFF"/>
        </w:rPr>
        <w:t>延期还本付息</w:t>
      </w:r>
      <w:r>
        <w:rPr>
          <w:rFonts w:hint="eastAsia" w:ascii="微软雅黑" w:hAnsi="微软雅黑" w:eastAsia="微软雅黑" w:cs="微软雅黑"/>
          <w:i w:val="0"/>
          <w:caps w:val="0"/>
          <w:color w:val="333333"/>
          <w:spacing w:val="0"/>
          <w:sz w:val="24"/>
          <w:szCs w:val="24"/>
          <w:bdr w:val="none" w:color="auto" w:sz="0" w:space="0"/>
          <w:shd w:val="clear" w:fill="FFFFFF"/>
        </w:rPr>
        <w:t>。鼓励银行业金融机构根据个体工商户的申请，结合其受疫情影响情况和经营状况，对2020年1月25日以来到期的贷款本金和2020年1月25日至6月30日需支付的贷款利息，给予一定期限的延期还本付息安排，最长可延至2020年6月30日，免收罚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10</w:t>
      </w:r>
      <w:r>
        <w:rPr>
          <w:rFonts w:hint="eastAsia" w:ascii="微软雅黑" w:hAnsi="微软雅黑" w:eastAsia="微软雅黑" w:cs="微软雅黑"/>
          <w:b/>
          <w:bCs/>
          <w:i w:val="0"/>
          <w:caps w:val="0"/>
          <w:color w:val="333333"/>
          <w:spacing w:val="0"/>
          <w:sz w:val="24"/>
          <w:szCs w:val="24"/>
          <w:bdr w:val="none" w:color="auto" w:sz="0" w:space="0"/>
          <w:shd w:val="clear" w:fill="FFFFFF"/>
        </w:rPr>
        <w:t>．增加融资安排。</w:t>
      </w:r>
      <w:r>
        <w:rPr>
          <w:rFonts w:hint="eastAsia" w:ascii="微软雅黑" w:hAnsi="微软雅黑" w:eastAsia="微软雅黑" w:cs="微软雅黑"/>
          <w:i w:val="0"/>
          <w:caps w:val="0"/>
          <w:color w:val="333333"/>
          <w:spacing w:val="0"/>
          <w:sz w:val="24"/>
          <w:szCs w:val="24"/>
          <w:bdr w:val="none" w:color="auto" w:sz="0" w:space="0"/>
          <w:shd w:val="clear" w:fill="FFFFFF"/>
        </w:rPr>
        <w:t>地方法人银行应积极申请人民银行再贷款，增加专项信贷额度，向个体工商户发放优惠利率贷款；银行业金融机构应积极对接个体工商户融资需求，完善对个体工商户的信贷服务，做到应贷尽贷快贷；对受疫情影响特别严重的批发零售、文化娱乐、住宿餐饮、交通运输等行业，建立绿色通道，简化贷款审批流程，给予适当信贷倾斜。在广东省中小企业融资平台疫情专区设立个体工商户专窗，引导金融机构开发专属金融产品，方便其申请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11．</w:t>
      </w:r>
      <w:r>
        <w:rPr>
          <w:rFonts w:hint="eastAsia" w:ascii="微软雅黑" w:hAnsi="微软雅黑" w:eastAsia="微软雅黑" w:cs="微软雅黑"/>
          <w:b/>
          <w:bCs/>
          <w:i w:val="0"/>
          <w:caps w:val="0"/>
          <w:color w:val="333333"/>
          <w:spacing w:val="0"/>
          <w:sz w:val="24"/>
          <w:szCs w:val="24"/>
          <w:bdr w:val="none" w:color="auto" w:sz="0" w:space="0"/>
          <w:shd w:val="clear" w:fill="FFFFFF"/>
        </w:rPr>
        <w:t>强化国有企业帮扶带动作用</w:t>
      </w:r>
      <w:r>
        <w:rPr>
          <w:rFonts w:hint="eastAsia" w:ascii="微软雅黑" w:hAnsi="微软雅黑" w:eastAsia="微软雅黑" w:cs="微软雅黑"/>
          <w:i w:val="0"/>
          <w:caps w:val="0"/>
          <w:color w:val="333333"/>
          <w:spacing w:val="0"/>
          <w:sz w:val="24"/>
          <w:szCs w:val="24"/>
          <w:bdr w:val="none" w:color="auto" w:sz="0" w:space="0"/>
          <w:shd w:val="clear" w:fill="FFFFFF"/>
        </w:rPr>
        <w:t>。国有大中型企业、行业龙头企业在货款回收、原材料供应、项目发包等方面，对个体工商户加大支持力度，促进产业链运行平稳。对已与国有企业签订合同的个体工商户，确因疫情影响无法按时履行合同义务的，可以适当延长合同履行期限。国有企业要按照合同约定按时足额支付相关款项，不得形成新增逾期拖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7"/>
          <w:rFonts w:hint="eastAsia" w:ascii="微软雅黑" w:hAnsi="微软雅黑" w:eastAsia="微软雅黑" w:cs="微软雅黑"/>
          <w:i w:val="0"/>
          <w:caps w:val="0"/>
          <w:color w:val="333333"/>
          <w:spacing w:val="0"/>
          <w:sz w:val="24"/>
          <w:szCs w:val="24"/>
          <w:bdr w:val="none" w:color="auto" w:sz="0" w:space="0"/>
          <w:shd w:val="clear" w:fill="FFFFFF"/>
        </w:rPr>
        <w:t>三、实施包容审慎监管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12．</w:t>
      </w:r>
      <w:r>
        <w:rPr>
          <w:rFonts w:hint="eastAsia" w:ascii="微软雅黑" w:hAnsi="微软雅黑" w:eastAsia="微软雅黑" w:cs="微软雅黑"/>
          <w:b/>
          <w:bCs/>
          <w:i w:val="0"/>
          <w:caps w:val="0"/>
          <w:color w:val="333333"/>
          <w:spacing w:val="0"/>
          <w:sz w:val="24"/>
          <w:szCs w:val="24"/>
          <w:bdr w:val="none" w:color="auto" w:sz="0" w:space="0"/>
          <w:shd w:val="clear" w:fill="FFFFFF"/>
        </w:rPr>
        <w:t>延长证照有效期。</w:t>
      </w:r>
      <w:r>
        <w:rPr>
          <w:rFonts w:hint="eastAsia" w:ascii="微软雅黑" w:hAnsi="微软雅黑" w:eastAsia="微软雅黑" w:cs="微软雅黑"/>
          <w:i w:val="0"/>
          <w:caps w:val="0"/>
          <w:color w:val="333333"/>
          <w:spacing w:val="0"/>
          <w:sz w:val="24"/>
          <w:szCs w:val="24"/>
          <w:bdr w:val="none" w:color="auto" w:sz="0" w:space="0"/>
          <w:shd w:val="clear" w:fill="FFFFFF"/>
        </w:rPr>
        <w:t>个体工商户受疫情影响未能按时办理营业执照等各类行政许可变更、延期、年审的，可在疫情解除后30日内补办相关手续，在此期间相关证照继续有效。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13．</w:t>
      </w:r>
      <w:r>
        <w:rPr>
          <w:rFonts w:hint="eastAsia" w:ascii="微软雅黑" w:hAnsi="微软雅黑" w:eastAsia="微软雅黑" w:cs="微软雅黑"/>
          <w:b/>
          <w:bCs/>
          <w:i w:val="0"/>
          <w:caps w:val="0"/>
          <w:color w:val="333333"/>
          <w:spacing w:val="0"/>
          <w:sz w:val="24"/>
          <w:szCs w:val="24"/>
          <w:bdr w:val="none" w:color="auto" w:sz="0" w:space="0"/>
          <w:shd w:val="clear" w:fill="FFFFFF"/>
        </w:rPr>
        <w:t>放宽信用监管</w:t>
      </w:r>
      <w:r>
        <w:rPr>
          <w:rFonts w:hint="eastAsia" w:ascii="微软雅黑" w:hAnsi="微软雅黑" w:eastAsia="微软雅黑" w:cs="微软雅黑"/>
          <w:i w:val="0"/>
          <w:caps w:val="0"/>
          <w:color w:val="333333"/>
          <w:spacing w:val="0"/>
          <w:sz w:val="24"/>
          <w:szCs w:val="24"/>
          <w:bdr w:val="none" w:color="auto" w:sz="0" w:space="0"/>
          <w:shd w:val="clear" w:fill="FFFFFF"/>
        </w:rPr>
        <w:t>。受疫情影响，导致订单交付不及时、逾期履行合同、无法按期还款等失信行为的，不纳入个体工商户和经营者个人的信用记录，已纳入信用记录的，可申请信用修复；暂时失联或未按时报送年度报告的，不列入经营异常名录，年度报告时间延长至2020年12月31日。实施临时性延期还本付息的，银行业金融机构不得因疫情因素下调个体工商户的贷款风险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14．</w:t>
      </w:r>
      <w:r>
        <w:rPr>
          <w:rFonts w:hint="eastAsia" w:ascii="微软雅黑" w:hAnsi="微软雅黑" w:eastAsia="微软雅黑" w:cs="微软雅黑"/>
          <w:b/>
          <w:bCs/>
          <w:i w:val="0"/>
          <w:caps w:val="0"/>
          <w:color w:val="333333"/>
          <w:spacing w:val="0"/>
          <w:sz w:val="24"/>
          <w:szCs w:val="24"/>
          <w:bdr w:val="none" w:color="auto" w:sz="0" w:space="0"/>
          <w:shd w:val="clear" w:fill="FFFFFF"/>
        </w:rPr>
        <w:t>推行柔性执法</w:t>
      </w:r>
      <w:r>
        <w:rPr>
          <w:rFonts w:hint="eastAsia" w:ascii="微软雅黑" w:hAnsi="微软雅黑" w:eastAsia="微软雅黑" w:cs="微软雅黑"/>
          <w:i w:val="0"/>
          <w:caps w:val="0"/>
          <w:color w:val="333333"/>
          <w:spacing w:val="0"/>
          <w:sz w:val="24"/>
          <w:szCs w:val="24"/>
          <w:bdr w:val="none" w:color="auto" w:sz="0" w:space="0"/>
          <w:shd w:val="clear" w:fill="FFFFFF"/>
        </w:rPr>
        <w:t>。疫情期间，个体工商户的轻微违法行为，不涉及公共卫生、食品安全、药品安全、安全生产、自然资源保护、生态环境保护等重点领域，对社会危害不大的，依法不予处罚或从轻、减轻处罚；被处以罚款但确有经济困难的，可申请暂缓或分期缴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15．</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维护纳税人权益。</w:t>
      </w:r>
      <w:r>
        <w:rPr>
          <w:rFonts w:hint="eastAsia" w:ascii="微软雅黑" w:hAnsi="微软雅黑" w:eastAsia="微软雅黑" w:cs="微软雅黑"/>
          <w:i w:val="0"/>
          <w:caps w:val="0"/>
          <w:color w:val="333333"/>
          <w:spacing w:val="0"/>
          <w:sz w:val="24"/>
          <w:szCs w:val="24"/>
          <w:bdr w:val="none" w:color="auto" w:sz="0" w:space="0"/>
          <w:shd w:val="clear" w:fill="FFFFFF"/>
        </w:rPr>
        <w:t>对受疫情影响逾期申报或逾期报送相关资料的纳税人，免予行政处罚，相关记录不纳入纳税信用评价；对逾期未申报的纳税人，暂不认定为非正常户。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16</w:t>
      </w:r>
      <w:r>
        <w:rPr>
          <w:rFonts w:hint="eastAsia" w:ascii="微软雅黑" w:hAnsi="微软雅黑" w:eastAsia="微软雅黑" w:cs="微软雅黑"/>
          <w:b/>
          <w:bCs/>
          <w:i w:val="0"/>
          <w:caps w:val="0"/>
          <w:color w:val="333333"/>
          <w:spacing w:val="0"/>
          <w:sz w:val="24"/>
          <w:szCs w:val="24"/>
          <w:bdr w:val="none" w:color="auto" w:sz="0" w:space="0"/>
          <w:shd w:val="clear" w:fill="FFFFFF"/>
        </w:rPr>
        <w:t>．减少经营场所限制</w:t>
      </w:r>
      <w:r>
        <w:rPr>
          <w:rFonts w:hint="eastAsia" w:ascii="微软雅黑" w:hAnsi="微软雅黑" w:eastAsia="微软雅黑" w:cs="微软雅黑"/>
          <w:i w:val="0"/>
          <w:caps w:val="0"/>
          <w:color w:val="333333"/>
          <w:spacing w:val="0"/>
          <w:sz w:val="24"/>
          <w:szCs w:val="24"/>
          <w:bdr w:val="none" w:color="auto" w:sz="0" w:space="0"/>
          <w:shd w:val="clear" w:fill="FFFFFF"/>
        </w:rPr>
        <w:t>。放宽“住改商”政策，简化办理流程。各地根据城市规划和管理需要，划定区域禁止开展特定经营活动的，须制定禁设区域目录并向社会公布，目录以外不得限制经营。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17．</w:t>
      </w:r>
      <w:r>
        <w:rPr>
          <w:rFonts w:hint="eastAsia" w:ascii="微软雅黑" w:hAnsi="微软雅黑" w:eastAsia="微软雅黑" w:cs="微软雅黑"/>
          <w:b/>
          <w:bCs/>
          <w:i w:val="0"/>
          <w:caps w:val="0"/>
          <w:color w:val="333333"/>
          <w:spacing w:val="0"/>
          <w:sz w:val="24"/>
          <w:szCs w:val="24"/>
          <w:bdr w:val="none" w:color="auto" w:sz="0" w:space="0"/>
          <w:shd w:val="clear" w:fill="FFFFFF"/>
        </w:rPr>
        <w:t>依法豁免个体经营者登记</w:t>
      </w:r>
      <w:r>
        <w:rPr>
          <w:rFonts w:hint="eastAsia" w:ascii="微软雅黑" w:hAnsi="微软雅黑" w:eastAsia="微软雅黑" w:cs="微软雅黑"/>
          <w:i w:val="0"/>
          <w:caps w:val="0"/>
          <w:color w:val="333333"/>
          <w:spacing w:val="0"/>
          <w:sz w:val="24"/>
          <w:szCs w:val="24"/>
          <w:bdr w:val="none" w:color="auto" w:sz="0" w:space="0"/>
          <w:shd w:val="clear" w:fill="FFFFFF"/>
        </w:rPr>
        <w:t>。对销售农副产品、日常生活用品或者个人利用自己的技能从事依法无须取得许可的便民劳务活动的个体经营者，特别是在疫情期间从事群众基本生活保障的零售业个体经营者，依法予以豁免登记。支持各地以划定区域等方式，允许个体经营者适度拓展经营场地、延长经营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7"/>
          <w:rFonts w:hint="eastAsia" w:ascii="微软雅黑" w:hAnsi="微软雅黑" w:eastAsia="微软雅黑" w:cs="微软雅黑"/>
          <w:i w:val="0"/>
          <w:caps w:val="0"/>
          <w:color w:val="333333"/>
          <w:spacing w:val="0"/>
          <w:sz w:val="24"/>
          <w:szCs w:val="24"/>
          <w:bdr w:val="none" w:color="auto" w:sz="0" w:space="0"/>
          <w:shd w:val="clear" w:fill="FFFFFF"/>
        </w:rPr>
        <w:t>四、加强服务保障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18．</w:t>
      </w:r>
      <w:r>
        <w:rPr>
          <w:rFonts w:hint="eastAsia" w:ascii="微软雅黑" w:hAnsi="微软雅黑" w:eastAsia="微软雅黑" w:cs="微软雅黑"/>
          <w:b/>
          <w:bCs/>
          <w:i w:val="0"/>
          <w:caps w:val="0"/>
          <w:color w:val="333333"/>
          <w:spacing w:val="0"/>
          <w:sz w:val="24"/>
          <w:szCs w:val="24"/>
          <w:bdr w:val="none" w:color="auto" w:sz="0" w:space="0"/>
          <w:shd w:val="clear" w:fill="FFFFFF"/>
        </w:rPr>
        <w:t>缓解用工难题。</w:t>
      </w:r>
      <w:r>
        <w:rPr>
          <w:rFonts w:hint="eastAsia" w:ascii="微软雅黑" w:hAnsi="微软雅黑" w:eastAsia="微软雅黑" w:cs="微软雅黑"/>
          <w:i w:val="0"/>
          <w:caps w:val="0"/>
          <w:color w:val="333333"/>
          <w:spacing w:val="0"/>
          <w:sz w:val="24"/>
          <w:szCs w:val="24"/>
          <w:bdr w:val="none" w:color="auto" w:sz="0" w:space="0"/>
          <w:shd w:val="clear" w:fill="FFFFFF"/>
        </w:rPr>
        <w:t>鼓励行业协会、中介机构、交通运输企业等组织“点对点”专车、专列帮助异地务工人员返粤返岗，各地可给予组织者一定补助。发挥公共就业服务机构、行业协会、人力资源服务机构作用，通过搭建用工平台、线上招聘等方式，开展针对个体工商户的招工专场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19．</w:t>
      </w:r>
      <w:r>
        <w:rPr>
          <w:rFonts w:hint="eastAsia" w:ascii="微软雅黑" w:hAnsi="微软雅黑" w:eastAsia="微软雅黑" w:cs="微软雅黑"/>
          <w:b/>
          <w:bCs/>
          <w:i w:val="0"/>
          <w:caps w:val="0"/>
          <w:color w:val="333333"/>
          <w:spacing w:val="0"/>
          <w:sz w:val="24"/>
          <w:szCs w:val="24"/>
          <w:bdr w:val="none" w:color="auto" w:sz="0" w:space="0"/>
          <w:shd w:val="clear" w:fill="FFFFFF"/>
        </w:rPr>
        <w:t>打通投递“最后一百米”</w:t>
      </w:r>
      <w:r>
        <w:rPr>
          <w:rFonts w:hint="eastAsia" w:ascii="微软雅黑" w:hAnsi="微软雅黑" w:eastAsia="微软雅黑" w:cs="微软雅黑"/>
          <w:i w:val="0"/>
          <w:caps w:val="0"/>
          <w:color w:val="333333"/>
          <w:spacing w:val="0"/>
          <w:sz w:val="24"/>
          <w:szCs w:val="24"/>
          <w:bdr w:val="none" w:color="auto" w:sz="0" w:space="0"/>
          <w:shd w:val="clear" w:fill="FFFFFF"/>
        </w:rPr>
        <w:t>。稳定快递末端网点，保障邮政快递车辆顺畅通行。优化末端投递服务，允许邮递员、快递员进入城市社区、建制村和写字楼投递，鼓励通过智能包裹柜、智能快件箱投递等方式进行定点投递，恢复民生物资配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20．</w:t>
      </w:r>
      <w:r>
        <w:rPr>
          <w:rFonts w:hint="eastAsia" w:ascii="微软雅黑" w:hAnsi="微软雅黑" w:eastAsia="微软雅黑" w:cs="微软雅黑"/>
          <w:b/>
          <w:bCs/>
          <w:i w:val="0"/>
          <w:caps w:val="0"/>
          <w:color w:val="333333"/>
          <w:spacing w:val="0"/>
          <w:sz w:val="24"/>
          <w:szCs w:val="24"/>
          <w:bdr w:val="none" w:color="auto" w:sz="0" w:space="0"/>
          <w:shd w:val="clear" w:fill="FFFFFF"/>
        </w:rPr>
        <w:t>畅通诉求解决渠道。</w:t>
      </w:r>
      <w:r>
        <w:rPr>
          <w:rFonts w:hint="eastAsia" w:ascii="微软雅黑" w:hAnsi="微软雅黑" w:eastAsia="微软雅黑" w:cs="微软雅黑"/>
          <w:i w:val="0"/>
          <w:caps w:val="0"/>
          <w:color w:val="333333"/>
          <w:spacing w:val="0"/>
          <w:sz w:val="24"/>
          <w:szCs w:val="24"/>
          <w:bdr w:val="none" w:color="auto" w:sz="0" w:space="0"/>
          <w:shd w:val="clear" w:fill="FFFFFF"/>
        </w:rPr>
        <w:t>依托“粤商通”平台开通个体工商户专用通道，及时发布扶持政策措施，丰富诉求反映渠道。推动各地建立诉求响应机制，及时解决个体工商户生产经营面临的突出问题，以及扶持政策落实不到位、选择性适用等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21．</w:t>
      </w:r>
      <w:r>
        <w:rPr>
          <w:rFonts w:hint="eastAsia" w:ascii="微软雅黑" w:hAnsi="微软雅黑" w:eastAsia="微软雅黑" w:cs="微软雅黑"/>
          <w:b/>
          <w:bCs/>
          <w:i w:val="0"/>
          <w:caps w:val="0"/>
          <w:color w:val="333333"/>
          <w:spacing w:val="0"/>
          <w:sz w:val="24"/>
          <w:szCs w:val="24"/>
          <w:bdr w:val="none" w:color="auto" w:sz="0" w:space="0"/>
          <w:shd w:val="clear" w:fill="FFFFFF"/>
        </w:rPr>
        <w:t>开展维权服务</w:t>
      </w:r>
      <w:r>
        <w:rPr>
          <w:rFonts w:hint="eastAsia" w:ascii="微软雅黑" w:hAnsi="微软雅黑" w:eastAsia="微软雅黑" w:cs="微软雅黑"/>
          <w:i w:val="0"/>
          <w:caps w:val="0"/>
          <w:color w:val="333333"/>
          <w:spacing w:val="0"/>
          <w:sz w:val="24"/>
          <w:szCs w:val="24"/>
          <w:bdr w:val="none" w:color="auto" w:sz="0" w:space="0"/>
          <w:shd w:val="clear" w:fill="FFFFFF"/>
        </w:rPr>
        <w:t>。组建法律服务团，设置律师、公证、仲裁等专项服务队伍，由省律师协会在抗疫情专项公益基金中对律师服务费予以补贴，免费为个体工商户提供咨询、调解、仲裁法律服务，指导个体工商户化解房屋租金、合同履约、复工复产、劳动用工等方面法律纠纷。公证、仲裁等服务窗口开通绿色通道，对受疫情影响的个体工商户，实行案件优先受理专人负责办理，部分事项实行减、免、缓收费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22．</w:t>
      </w:r>
      <w:r>
        <w:rPr>
          <w:rFonts w:hint="eastAsia" w:ascii="微软雅黑" w:hAnsi="微软雅黑" w:eastAsia="微软雅黑" w:cs="微软雅黑"/>
          <w:b/>
          <w:bCs/>
          <w:i w:val="0"/>
          <w:caps w:val="0"/>
          <w:color w:val="333333"/>
          <w:spacing w:val="0"/>
          <w:sz w:val="24"/>
          <w:szCs w:val="24"/>
          <w:bdr w:val="none" w:color="auto" w:sz="0" w:space="0"/>
          <w:shd w:val="clear" w:fill="FFFFFF"/>
        </w:rPr>
        <w:t>充分发挥个体劳动者私营企业协会的桥梁纽带作用</w:t>
      </w:r>
      <w:r>
        <w:rPr>
          <w:rFonts w:hint="eastAsia" w:ascii="微软雅黑" w:hAnsi="微软雅黑" w:eastAsia="微软雅黑" w:cs="微软雅黑"/>
          <w:i w:val="0"/>
          <w:caps w:val="0"/>
          <w:color w:val="333333"/>
          <w:spacing w:val="0"/>
          <w:sz w:val="24"/>
          <w:szCs w:val="24"/>
          <w:bdr w:val="none" w:color="auto" w:sz="0" w:space="0"/>
          <w:shd w:val="clear" w:fill="FFFFFF"/>
        </w:rPr>
        <w:t>。发挥协会组织体系健全、与个体工商户联系紧密的优势，把扶持政策措施宣传到位，做到人人明白、户户皆知。科学选定个体工商户调查样本，长期跟踪经营情况，为党政机关决策提供参考。组织开展学习培训、宣传教育、经贸交流、困难帮扶、公益援助等活动，为促进个体工商户发展搭建平台、优化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23</w:t>
      </w:r>
      <w:r>
        <w:rPr>
          <w:rFonts w:hint="eastAsia" w:ascii="微软雅黑" w:hAnsi="微软雅黑" w:eastAsia="微软雅黑" w:cs="微软雅黑"/>
          <w:b/>
          <w:bCs/>
          <w:i w:val="0"/>
          <w:caps w:val="0"/>
          <w:color w:val="333333"/>
          <w:spacing w:val="0"/>
          <w:sz w:val="24"/>
          <w:szCs w:val="24"/>
          <w:bdr w:val="none" w:color="auto" w:sz="0" w:space="0"/>
          <w:shd w:val="clear" w:fill="FFFFFF"/>
        </w:rPr>
        <w:t>．全面压实工作责任。</w:t>
      </w:r>
      <w:r>
        <w:rPr>
          <w:rFonts w:hint="eastAsia" w:ascii="微软雅黑" w:hAnsi="微软雅黑" w:eastAsia="微软雅黑" w:cs="微软雅黑"/>
          <w:i w:val="0"/>
          <w:caps w:val="0"/>
          <w:color w:val="333333"/>
          <w:spacing w:val="0"/>
          <w:sz w:val="24"/>
          <w:szCs w:val="24"/>
          <w:bdr w:val="none" w:color="auto" w:sz="0" w:space="0"/>
          <w:shd w:val="clear" w:fill="FFFFFF"/>
        </w:rPr>
        <w:t>各行业主管部门要切实担负起行业指导责任，各地方政府要落实属地责任，建立健全部门联动机制，加大指导督促力度，推动各项政策措施落地见效。各级政府和部门已出台的相关政策，除适用范围有明确规定外，原则上均适用于个体工商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auto"/>
          <w:spacing w:val="0"/>
          <w:sz w:val="24"/>
          <w:szCs w:val="24"/>
          <w:bdr w:val="none" w:color="auto" w:sz="0" w:space="0"/>
          <w:shd w:val="clear" w:fill="FFFFFF"/>
        </w:rPr>
        <w:t>　</w:t>
      </w:r>
      <w:r>
        <w:rPr>
          <w:rFonts w:hint="eastAsia" w:ascii="微软雅黑" w:hAnsi="微软雅黑" w:eastAsia="微软雅黑" w:cs="微软雅黑"/>
          <w:i w:val="0"/>
          <w:caps w:val="0"/>
          <w:color w:val="auto"/>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auto"/>
          <w:spacing w:val="0"/>
          <w:sz w:val="24"/>
          <w:szCs w:val="24"/>
          <w:u w:val="none"/>
          <w:bdr w:val="none" w:color="auto" w:sz="0" w:space="0"/>
          <w:shd w:val="clear" w:fill="FFFFFF"/>
        </w:rPr>
        <w:instrText xml:space="preserve"> HYPERLINK "http://amr.gd.gov.cn/attachment/0/389/389978/2963175.docx" \t "http://amr.gd.gov.cn/zwgk/tzgg/content/_blank" </w:instrText>
      </w:r>
      <w:r>
        <w:rPr>
          <w:rFonts w:hint="eastAsia" w:ascii="微软雅黑" w:hAnsi="微软雅黑" w:eastAsia="微软雅黑" w:cs="微软雅黑"/>
          <w:i w:val="0"/>
          <w:caps w:val="0"/>
          <w:color w:val="auto"/>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caps w:val="0"/>
          <w:color w:val="auto"/>
          <w:spacing w:val="0"/>
          <w:sz w:val="24"/>
          <w:szCs w:val="24"/>
          <w:u w:val="none"/>
          <w:bdr w:val="none" w:color="auto" w:sz="0" w:space="0"/>
          <w:shd w:val="clear" w:fill="FFFFFF"/>
        </w:rPr>
        <w:t>附件 政策措施分工表.docx</w:t>
      </w:r>
      <w:r>
        <w:rPr>
          <w:rFonts w:hint="eastAsia" w:ascii="微软雅黑" w:hAnsi="微软雅黑" w:eastAsia="微软雅黑" w:cs="微软雅黑"/>
          <w:i w:val="0"/>
          <w:caps w:val="0"/>
          <w:color w:val="auto"/>
          <w:spacing w:val="0"/>
          <w:sz w:val="24"/>
          <w:szCs w:val="24"/>
          <w:u w:val="none"/>
          <w:bdr w:val="none" w:color="auto" w:sz="0" w:space="0"/>
          <w:shd w:val="clear" w:fill="FFFFFF"/>
        </w:rPr>
        <w:fldChar w:fldCharType="end"/>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rPr>
      </w:pPr>
      <w:bookmarkStart w:id="6" w:name="_GoBack"/>
      <w:bookmarkEnd w:id="6"/>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政策措施分工表</w:t>
      </w:r>
    </w:p>
    <w:tbl>
      <w:tblPr>
        <w:tblStyle w:val="5"/>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701"/>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32"/>
                <w:szCs w:val="32"/>
              </w:rPr>
            </w:pPr>
            <w:bookmarkStart w:id="0" w:name="OLE_LINK14"/>
            <w:r>
              <w:rPr>
                <w:rFonts w:hint="eastAsia" w:ascii="黑体" w:hAnsi="黑体" w:eastAsia="黑体" w:cs="黑体"/>
                <w:color w:val="auto"/>
                <w:sz w:val="32"/>
                <w:szCs w:val="32"/>
              </w:rPr>
              <w:t>序号</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政策措施</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bookmarkStart w:id="1" w:name="OLE_LINK9" w:colFirst="1" w:colLast="1"/>
            <w:bookmarkStart w:id="2" w:name="OLE_LINK11" w:colFirst="2" w:colLast="2"/>
            <w:bookmarkStart w:id="3" w:name="OLE_LINK8" w:colFirst="1" w:colLast="2"/>
            <w:r>
              <w:rPr>
                <w:rFonts w:ascii="Times New Roman" w:hAnsi="Times New Roman" w:eastAsia="仿宋_GB2312" w:cs="Times New Roman"/>
                <w:color w:val="auto"/>
                <w:sz w:val="32"/>
                <w:szCs w:val="32"/>
              </w:rPr>
              <w:t>1</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减免场地租金</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省国资委、财政厅</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减轻税收负担</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税务局</w:t>
            </w:r>
            <w:r>
              <w:rPr>
                <w:rFonts w:hint="eastAsia" w:ascii="仿宋_GB2312" w:hAnsi="仿宋_GB2312" w:eastAsia="仿宋_GB2312" w:cs="仿宋_GB2312"/>
                <w:color w:val="auto"/>
                <w:sz w:val="32"/>
                <w:szCs w:val="32"/>
                <w:lang w:eastAsia="zh-CN"/>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减免社保费用</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省人力资源社会保障厅</w:t>
            </w:r>
            <w:r>
              <w:rPr>
                <w:rFonts w:hint="eastAsia" w:ascii="仿宋_GB2312" w:hAnsi="仿宋_GB2312" w:eastAsia="仿宋_GB2312" w:cs="仿宋_GB2312"/>
                <w:color w:val="auto"/>
                <w:sz w:val="32"/>
                <w:szCs w:val="32"/>
                <w:lang w:eastAsia="zh-CN"/>
              </w:rPr>
              <w:t>，省税务局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减免医保费用</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省医保局，省税务局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减免服务收费</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省市场监管局、国资委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降低水电气价格</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省发展改革委</w:t>
            </w:r>
            <w:r>
              <w:rPr>
                <w:rFonts w:hint="eastAsia" w:ascii="仿宋_GB2312" w:hAnsi="仿宋_GB2312" w:eastAsia="仿宋_GB2312" w:cs="仿宋_GB2312"/>
                <w:color w:val="auto"/>
                <w:sz w:val="32"/>
                <w:szCs w:val="32"/>
                <w:lang w:eastAsia="zh-CN"/>
              </w:rPr>
              <w:t>，各地级以上市人民政府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降低线上经营成本</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省商务厅</w:t>
            </w:r>
            <w:r>
              <w:rPr>
                <w:rFonts w:hint="eastAsia" w:ascii="仿宋_GB2312" w:hAnsi="仿宋_GB2312" w:eastAsia="仿宋_GB2312" w:cs="仿宋_GB2312"/>
                <w:color w:val="auto"/>
                <w:sz w:val="32"/>
                <w:szCs w:val="32"/>
                <w:lang w:eastAsia="zh-CN"/>
              </w:rPr>
              <w:t>，各地级以上市人民政府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加大对“个转企”支持力度</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eastAsia="zh-CN"/>
              </w:rPr>
              <w:t>市场监管局</w:t>
            </w:r>
            <w:r>
              <w:rPr>
                <w:rFonts w:hint="eastAsia" w:ascii="仿宋_GB2312" w:hAnsi="仿宋_GB2312" w:eastAsia="仿宋_GB2312" w:cs="仿宋_GB2312"/>
                <w:color w:val="auto"/>
                <w:sz w:val="32"/>
                <w:szCs w:val="32"/>
              </w:rPr>
              <w:t>、自然资源厅</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9</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延期还本付息</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广东银保监局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民银</w:t>
            </w:r>
            <w:r>
              <w:rPr>
                <w:rFonts w:hint="eastAsia" w:ascii="仿宋_GB2312" w:hAnsi="仿宋_GB2312" w:eastAsia="仿宋_GB2312" w:cs="仿宋_GB2312"/>
                <w:color w:val="auto"/>
                <w:sz w:val="32"/>
                <w:szCs w:val="32"/>
              </w:rPr>
              <w:t>行广州分行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10</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rPr>
              <w:t>融资安排</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广东银保监局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民银</w:t>
            </w:r>
            <w:r>
              <w:rPr>
                <w:rFonts w:hint="eastAsia" w:ascii="仿宋_GB2312" w:hAnsi="仿宋_GB2312" w:eastAsia="仿宋_GB2312" w:cs="仿宋_GB2312"/>
                <w:color w:val="auto"/>
                <w:sz w:val="32"/>
                <w:szCs w:val="32"/>
              </w:rPr>
              <w:t>行广州分行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11</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强化</w:t>
            </w:r>
            <w:r>
              <w:rPr>
                <w:rFonts w:hint="eastAsia" w:ascii="仿宋_GB2312" w:hAnsi="仿宋_GB2312" w:eastAsia="仿宋_GB2312" w:cs="仿宋_GB2312"/>
                <w:color w:val="auto"/>
                <w:sz w:val="32"/>
                <w:szCs w:val="32"/>
                <w:lang w:eastAsia="zh-CN"/>
              </w:rPr>
              <w:t>国有</w:t>
            </w:r>
            <w:r>
              <w:rPr>
                <w:rFonts w:hint="eastAsia" w:ascii="仿宋_GB2312" w:hAnsi="仿宋_GB2312" w:eastAsia="仿宋_GB2312" w:cs="仿宋_GB2312"/>
                <w:color w:val="auto"/>
                <w:sz w:val="32"/>
                <w:szCs w:val="32"/>
              </w:rPr>
              <w:t>企业帮扶带动作用</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省国资委</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sectPr>
          <w:footerReference r:id="rId4" w:type="first"/>
          <w:footerReference r:id="rId3" w:type="default"/>
          <w:pgSz w:w="11906" w:h="16838"/>
          <w:pgMar w:top="1984" w:right="1701" w:bottom="1701" w:left="1701" w:header="851" w:footer="1191" w:gutter="0"/>
          <w:pgNumType w:fmt="decimal"/>
          <w:cols w:space="720" w:num="1"/>
          <w:titlePg/>
          <w:rtlGutter w:val="0"/>
          <w:docGrid w:type="linesAndChars" w:linePitch="597" w:charSpace="-3336"/>
        </w:sectPr>
      </w:pPr>
    </w:p>
    <w:tbl>
      <w:tblPr>
        <w:tblStyle w:val="5"/>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701"/>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12</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延长证照有效期</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各级行政许可实施</w:t>
            </w:r>
            <w:r>
              <w:rPr>
                <w:rFonts w:hint="eastAsia" w:ascii="仿宋_GB2312" w:hAnsi="仿宋_GB2312" w:eastAsia="仿宋_GB2312" w:cs="仿宋_GB2312"/>
                <w:color w:val="auto"/>
                <w:sz w:val="32"/>
                <w:szCs w:val="32"/>
              </w:rPr>
              <w:t>部门</w:t>
            </w:r>
          </w:p>
        </w:tc>
      </w:tr>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bookmarkStart w:id="4" w:name="OLE_LINK12" w:colFirst="2" w:colLast="2"/>
            <w:bookmarkStart w:id="5" w:name="OLE_LINK10" w:colFirst="1" w:colLast="1"/>
            <w:r>
              <w:rPr>
                <w:rFonts w:ascii="Times New Roman" w:hAnsi="Times New Roman" w:eastAsia="仿宋_GB2312" w:cs="Times New Roman"/>
                <w:color w:val="auto"/>
                <w:sz w:val="32"/>
                <w:szCs w:val="32"/>
              </w:rPr>
              <w:t>13</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放宽信用监管</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省发展改革委、</w:t>
            </w:r>
            <w:r>
              <w:rPr>
                <w:rFonts w:hint="eastAsia" w:ascii="仿宋_GB2312" w:hAnsi="仿宋_GB2312" w:eastAsia="仿宋_GB2312" w:cs="仿宋_GB2312"/>
                <w:color w:val="auto"/>
                <w:sz w:val="32"/>
                <w:szCs w:val="32"/>
              </w:rPr>
              <w:t>市场监管局、地方金融监管局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民银</w:t>
            </w:r>
            <w:r>
              <w:rPr>
                <w:rFonts w:hint="eastAsia" w:ascii="仿宋_GB2312" w:hAnsi="仿宋_GB2312" w:eastAsia="仿宋_GB2312" w:cs="仿宋_GB2312"/>
                <w:color w:val="auto"/>
                <w:sz w:val="32"/>
                <w:szCs w:val="32"/>
              </w:rPr>
              <w:t>行广州分行、广东银保监局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14</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val="0"/>
                <w:color w:val="auto"/>
                <w:kern w:val="2"/>
                <w:sz w:val="32"/>
                <w:szCs w:val="32"/>
                <w:lang w:val="en-US" w:eastAsia="zh-CN"/>
              </w:rPr>
              <w:t>推行柔性执法</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各级行政执法部门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15</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维护</w:t>
            </w:r>
            <w:r>
              <w:rPr>
                <w:rFonts w:hint="eastAsia" w:ascii="仿宋_GB2312" w:hAnsi="仿宋_GB2312" w:eastAsia="仿宋_GB2312" w:cs="仿宋_GB2312"/>
                <w:color w:val="auto"/>
                <w:sz w:val="32"/>
                <w:szCs w:val="32"/>
              </w:rPr>
              <w:t>纳税人权益</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16</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rPr>
              <w:t>经营场所</w:t>
            </w:r>
            <w:r>
              <w:rPr>
                <w:rFonts w:hint="eastAsia" w:ascii="仿宋_GB2312" w:hAnsi="仿宋_GB2312" w:eastAsia="仿宋_GB2312" w:cs="仿宋_GB2312"/>
                <w:color w:val="auto"/>
                <w:sz w:val="32"/>
                <w:szCs w:val="32"/>
                <w:lang w:eastAsia="zh-CN"/>
              </w:rPr>
              <w:t>限制</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17</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依法豁免个体经营者登记</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省市场监管局</w:t>
            </w:r>
            <w:r>
              <w:rPr>
                <w:rFonts w:hint="eastAsia" w:ascii="仿宋_GB2312" w:hAnsi="仿宋_GB2312" w:eastAsia="仿宋_GB2312" w:cs="仿宋_GB2312"/>
                <w:color w:val="auto"/>
                <w:sz w:val="32"/>
                <w:szCs w:val="32"/>
                <w:lang w:eastAsia="zh-CN"/>
              </w:rPr>
              <w:t>，各地级以上市人民政府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18</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缓解用工难题</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省人力资源社会保障厅，各地级以上市人民政府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19</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打通投递“最后</w:t>
            </w:r>
            <w:r>
              <w:rPr>
                <w:rFonts w:hint="eastAsia" w:ascii="仿宋_GB2312" w:hAnsi="仿宋_GB2312" w:eastAsia="仿宋_GB2312" w:cs="仿宋_GB2312"/>
                <w:color w:val="auto"/>
                <w:sz w:val="32"/>
                <w:szCs w:val="32"/>
                <w:lang w:val="en-US" w:eastAsia="zh-CN"/>
              </w:rPr>
              <w:t>一百米</w:t>
            </w:r>
            <w:r>
              <w:rPr>
                <w:rFonts w:hint="eastAsia" w:ascii="仿宋_GB2312" w:hAnsi="仿宋_GB2312" w:eastAsia="仿宋_GB2312" w:cs="仿宋_GB2312"/>
                <w:color w:val="auto"/>
                <w:sz w:val="32"/>
                <w:szCs w:val="32"/>
                <w:lang w:eastAsia="zh-CN"/>
              </w:rPr>
              <w:t>”</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lang w:val="en-US" w:eastAsia="zh-CN"/>
              </w:rPr>
              <w:t>邮政管理局，省公安厅、住房城乡建设厅、交通运输厅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畅通诉求解决渠道</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eastAsia="zh-CN"/>
              </w:rPr>
              <w:t>市场监管局、</w:t>
            </w:r>
            <w:r>
              <w:rPr>
                <w:rFonts w:hint="eastAsia" w:ascii="仿宋_GB2312" w:hAnsi="仿宋_GB2312" w:eastAsia="仿宋_GB2312" w:cs="仿宋_GB2312"/>
                <w:color w:val="auto"/>
                <w:sz w:val="32"/>
                <w:szCs w:val="32"/>
              </w:rPr>
              <w:t>政务服务数据管理局</w:t>
            </w:r>
            <w:r>
              <w:rPr>
                <w:rFonts w:hint="eastAsia" w:ascii="仿宋_GB2312" w:hAnsi="仿宋_GB2312" w:eastAsia="仿宋_GB2312" w:cs="仿宋_GB2312"/>
                <w:color w:val="auto"/>
                <w:sz w:val="32"/>
                <w:szCs w:val="32"/>
                <w:lang w:eastAsia="zh-CN"/>
              </w:rPr>
              <w:t>，各地级以上市人民政府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开展维权服务</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省司法厅，省工商联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22</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充分发挥个体劳动者私营企业协会的桥梁纽带作用</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省个体劳动者协会、私营企业协会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23</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全面压实工作责任</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省有关部门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各地级以上市人民政府</w:t>
            </w:r>
          </w:p>
        </w:tc>
      </w:tr>
      <w:bookmarkEnd w:id="0"/>
      <w:bookmarkEnd w:id="3"/>
      <w:bookmarkEnd w:id="4"/>
      <w:bookmarkEnd w:id="5"/>
    </w:tbl>
    <w:p>
      <w:pPr>
        <w:rPr>
          <w:rFonts w:ascii="Times New Roman" w:hAnsi="Times New Roman" w:cs="Times New Roman"/>
          <w:color w:val="auto"/>
        </w:rPr>
      </w:pP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imes New Roman" w:hAnsi="Times New Roman" w:eastAsia="仿宋_GB2312" w:cs="Times New Roman"/>
                              <w:sz w:val="18"/>
                              <w:lang w:eastAsia="zh-CN"/>
                            </w:rPr>
                          </w:pPr>
                          <w:r>
                            <w:rPr>
                              <w:rFonts w:hint="eastAsia" w:ascii="Times New Roman" w:hAnsi="Times New Roman" w:cs="Times New Roman"/>
                              <w:sz w:val="18"/>
                              <w:lang w:eastAsia="zh-CN"/>
                            </w:rPr>
                            <w:fldChar w:fldCharType="begin"/>
                          </w:r>
                          <w:r>
                            <w:rPr>
                              <w:rFonts w:hint="eastAsia" w:ascii="Times New Roman" w:hAnsi="Times New Roman" w:cs="Times New Roman"/>
                              <w:sz w:val="18"/>
                              <w:lang w:eastAsia="zh-CN"/>
                            </w:rPr>
                            <w:instrText xml:space="preserve"> PAGE  \* MERGEFORMAT </w:instrText>
                          </w:r>
                          <w:r>
                            <w:rPr>
                              <w:rFonts w:hint="eastAsia" w:ascii="Times New Roman" w:hAnsi="Times New Roman" w:cs="Times New Roman"/>
                              <w:sz w:val="18"/>
                              <w:lang w:eastAsia="zh-CN"/>
                            </w:rPr>
                            <w:fldChar w:fldCharType="separate"/>
                          </w:r>
                          <w:r>
                            <w:rPr>
                              <w:rFonts w:ascii="Times New Roman" w:hAnsi="Times New Roman" w:cs="Times New Roman"/>
                              <w:sz w:val="18"/>
                            </w:rPr>
                            <w:t>2</w:t>
                          </w:r>
                          <w:r>
                            <w:rPr>
                              <w:rFonts w:hint="eastAsia" w:ascii="Times New Roman" w:hAnsi="Times New Roman" w:cs="Times New Roman"/>
                              <w:sz w:val="18"/>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0&#10;3xAd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Times New Roman" w:hAnsi="Times New Roman" w:eastAsia="仿宋_GB2312" w:cs="Times New Roman"/>
                        <w:sz w:val="18"/>
                        <w:lang w:eastAsia="zh-CN"/>
                      </w:rPr>
                    </w:pPr>
                    <w:r>
                      <w:rPr>
                        <w:rFonts w:hint="eastAsia" w:ascii="Times New Roman" w:hAnsi="Times New Roman" w:cs="Times New Roman"/>
                        <w:sz w:val="18"/>
                        <w:lang w:eastAsia="zh-CN"/>
                      </w:rPr>
                      <w:fldChar w:fldCharType="begin"/>
                    </w:r>
                    <w:r>
                      <w:rPr>
                        <w:rFonts w:hint="eastAsia" w:ascii="Times New Roman" w:hAnsi="Times New Roman" w:cs="Times New Roman"/>
                        <w:sz w:val="18"/>
                        <w:lang w:eastAsia="zh-CN"/>
                      </w:rPr>
                      <w:instrText xml:space="preserve"> PAGE  \* MERGEFORMAT </w:instrText>
                    </w:r>
                    <w:r>
                      <w:rPr>
                        <w:rFonts w:hint="eastAsia" w:ascii="Times New Roman" w:hAnsi="Times New Roman" w:cs="Times New Roman"/>
                        <w:sz w:val="18"/>
                        <w:lang w:eastAsia="zh-CN"/>
                      </w:rPr>
                      <w:fldChar w:fldCharType="separate"/>
                    </w:r>
                    <w:r>
                      <w:rPr>
                        <w:rFonts w:ascii="Times New Roman" w:hAnsi="Times New Roman" w:cs="Times New Roman"/>
                        <w:sz w:val="18"/>
                      </w:rPr>
                      <w:t>2</w:t>
                    </w:r>
                    <w:r>
                      <w:rPr>
                        <w:rFonts w:hint="eastAsia" w:ascii="Times New Roman" w:hAnsi="Times New Roman" w:cs="Times New Roman"/>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imes New Roman" w:hAnsi="Times New Roman" w:eastAsia="仿宋_GB2312"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ascii="Times New Roman" w:hAnsi="Times New Roman" w:cs="Times New Roman"/>
                              <w:sz w:val="28"/>
                              <w:szCs w:val="28"/>
                            </w:rPr>
                            <w:t>1</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GSSC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Times New Roman" w:hAnsi="Times New Roman" w:eastAsia="仿宋_GB2312"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ascii="Times New Roman" w:hAnsi="Times New Roman" w:cs="Times New Roman"/>
                        <w:sz w:val="28"/>
                        <w:szCs w:val="28"/>
                      </w:rPr>
                      <w:t>1</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C0CA6"/>
    <w:rsid w:val="134C0CA6"/>
    <w:rsid w:val="26DF3A87"/>
    <w:rsid w:val="611C6BC6"/>
    <w:rsid w:val="735E70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2020-04-01T06:46:00Z</dcterms:created>
  <dc:creator>刘晓丽</dc:creator>
  <cp:lastModifiedBy>shanzi</cp:lastModifiedBy>
  <dcterms:modified xsi:type="dcterms:W3CDTF">2020-04-02T04:02:51Z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